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99B9" w14:textId="0F990A07" w:rsidR="0074752A" w:rsidRPr="0074752A" w:rsidRDefault="0074752A" w:rsidP="0074752A"/>
    <w:p w14:paraId="13B6B5BD" w14:textId="26901777" w:rsidR="00020E2E" w:rsidRDefault="00904823">
      <w:r w:rsidRPr="00B52B65">
        <w:rPr>
          <w:b/>
          <w:bCs/>
          <w:sz w:val="28"/>
          <w:szCs w:val="28"/>
        </w:rPr>
        <w:t>Wijzigingen in de syllabi voor havo en vwo in 2027 ten opzichte van die uit 2026</w:t>
      </w:r>
      <w:r w:rsidR="00430BAF">
        <w:rPr>
          <w:b/>
          <w:bCs/>
          <w:sz w:val="28"/>
          <w:szCs w:val="2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20E2E" w14:paraId="21C1C267" w14:textId="77777777" w:rsidTr="00020E2E">
        <w:tc>
          <w:tcPr>
            <w:tcW w:w="4247" w:type="dxa"/>
          </w:tcPr>
          <w:p w14:paraId="15579241" w14:textId="074FDBB6" w:rsidR="00020E2E" w:rsidRPr="007217AF" w:rsidRDefault="007217AF" w:rsidP="00E6240E">
            <w:pPr>
              <w:spacing w:line="360" w:lineRule="auto"/>
              <w:rPr>
                <w:b/>
                <w:bCs/>
              </w:rPr>
            </w:pPr>
            <w:r w:rsidRPr="007217AF">
              <w:rPr>
                <w:b/>
                <w:bCs/>
              </w:rPr>
              <w:t>Havo 2026</w:t>
            </w:r>
          </w:p>
        </w:tc>
        <w:tc>
          <w:tcPr>
            <w:tcW w:w="4247" w:type="dxa"/>
          </w:tcPr>
          <w:p w14:paraId="5B929743" w14:textId="0AC9ED1F" w:rsidR="00020E2E" w:rsidRPr="007217AF" w:rsidRDefault="007217AF" w:rsidP="00E6240E">
            <w:pPr>
              <w:spacing w:line="360" w:lineRule="auto"/>
              <w:rPr>
                <w:b/>
                <w:bCs/>
              </w:rPr>
            </w:pPr>
            <w:r w:rsidRPr="007217AF">
              <w:rPr>
                <w:b/>
                <w:bCs/>
              </w:rPr>
              <w:t>Havo 2027</w:t>
            </w:r>
          </w:p>
        </w:tc>
      </w:tr>
      <w:tr w:rsidR="00020E2E" w14:paraId="250D6038" w14:textId="77777777" w:rsidTr="00020E2E">
        <w:tc>
          <w:tcPr>
            <w:tcW w:w="4247" w:type="dxa"/>
          </w:tcPr>
          <w:p w14:paraId="214BB3D3" w14:textId="3AA53CE9" w:rsidR="00020E2E" w:rsidRPr="007217AF" w:rsidRDefault="007217AF" w:rsidP="00E6240E">
            <w:pPr>
              <w:spacing w:line="360" w:lineRule="auto"/>
              <w:rPr>
                <w:color w:val="215E99" w:themeColor="text2" w:themeTint="BF"/>
              </w:rPr>
            </w:pPr>
            <w:r w:rsidRPr="007217AF">
              <w:rPr>
                <w:color w:val="215E99" w:themeColor="text2" w:themeTint="BF"/>
              </w:rPr>
              <w:t>Nederland</w:t>
            </w:r>
          </w:p>
        </w:tc>
        <w:tc>
          <w:tcPr>
            <w:tcW w:w="4247" w:type="dxa"/>
          </w:tcPr>
          <w:p w14:paraId="703E6749" w14:textId="05DB1380" w:rsidR="00020E2E" w:rsidRPr="007217AF" w:rsidRDefault="007217AF" w:rsidP="00E6240E">
            <w:pPr>
              <w:spacing w:line="360" w:lineRule="auto"/>
              <w:rPr>
                <w:color w:val="215E99" w:themeColor="text2" w:themeTint="BF"/>
              </w:rPr>
            </w:pPr>
            <w:r w:rsidRPr="007217AF">
              <w:rPr>
                <w:color w:val="215E99" w:themeColor="text2" w:themeTint="BF"/>
              </w:rPr>
              <w:t>Nederland</w:t>
            </w:r>
          </w:p>
        </w:tc>
      </w:tr>
      <w:tr w:rsidR="00020E2E" w14:paraId="78BCC444" w14:textId="77777777" w:rsidTr="00020E2E">
        <w:tc>
          <w:tcPr>
            <w:tcW w:w="4247" w:type="dxa"/>
          </w:tcPr>
          <w:p w14:paraId="1B44C55A" w14:textId="77777777" w:rsidR="007217AF" w:rsidRDefault="007217AF" w:rsidP="00E6240E">
            <w:pPr>
              <w:spacing w:line="360" w:lineRule="auto"/>
            </w:pPr>
            <w:r>
              <w:t>Na de jaren 1950 was er sprake van ontzuiling van het sociale en het politieke leven.</w:t>
            </w:r>
          </w:p>
          <w:p w14:paraId="3853DF38" w14:textId="77777777" w:rsidR="007217AF" w:rsidRDefault="007217AF" w:rsidP="00E6240E">
            <w:pPr>
              <w:spacing w:line="360" w:lineRule="auto"/>
            </w:pPr>
            <w:r>
              <w:t>Nieuwe politieke partijen en omroepen, zoals D’66 en Veronica, kwamen op en er</w:t>
            </w:r>
          </w:p>
          <w:p w14:paraId="04A732CD" w14:textId="77777777" w:rsidR="007217AF" w:rsidRDefault="007217AF" w:rsidP="00E6240E">
            <w:pPr>
              <w:spacing w:line="360" w:lineRule="auto"/>
            </w:pPr>
            <w:r>
              <w:t>ontstond een jongerencultuur. De jeugd kreeg de beschikking over meer vrije tijd en geld</w:t>
            </w:r>
          </w:p>
          <w:p w14:paraId="1D549294" w14:textId="77777777" w:rsidR="007217AF" w:rsidRDefault="007217AF" w:rsidP="00E6240E">
            <w:pPr>
              <w:spacing w:line="360" w:lineRule="auto"/>
            </w:pPr>
            <w:r>
              <w:t>en een deel van de jongeren volgde steeds langer onderwijs. Mede onder invloed van</w:t>
            </w:r>
          </w:p>
          <w:p w14:paraId="508802C5" w14:textId="732F1F3C" w:rsidR="007217AF" w:rsidRDefault="007217AF" w:rsidP="00E6240E">
            <w:pPr>
              <w:spacing w:line="360" w:lineRule="auto"/>
            </w:pPr>
            <w:r>
              <w:t>popmuziek uit Engeland en de Verenigde Staten ontstonden er vanaf het eind van de</w:t>
            </w:r>
          </w:p>
          <w:p w14:paraId="0CDF1297" w14:textId="77777777" w:rsidR="007217AF" w:rsidRDefault="007217AF" w:rsidP="00E6240E">
            <w:pPr>
              <w:spacing w:line="360" w:lineRule="auto"/>
            </w:pPr>
            <w:r>
              <w:t>jaren 1950 jongerenbewegingen, zoals de nozems. In de jaren 1960 begonnen groepen</w:t>
            </w:r>
          </w:p>
          <w:p w14:paraId="64D8E838" w14:textId="77777777" w:rsidR="007217AF" w:rsidRDefault="007217AF" w:rsidP="00E6240E">
            <w:pPr>
              <w:spacing w:line="360" w:lineRule="auto"/>
            </w:pPr>
            <w:r>
              <w:t>jongeren, zoals de provo’s en de hippies, zich te verzetten tegen de</w:t>
            </w:r>
          </w:p>
          <w:p w14:paraId="7051A37A" w14:textId="77777777" w:rsidR="007217AF" w:rsidRDefault="007217AF" w:rsidP="00E6240E">
            <w:pPr>
              <w:spacing w:line="360" w:lineRule="auto"/>
            </w:pPr>
            <w:r>
              <w:t>consumptiemaatschappij. Zij bespotten het gezag van oudere generaties en eisten meer</w:t>
            </w:r>
          </w:p>
          <w:p w14:paraId="0D311233" w14:textId="06F9782F" w:rsidR="00020E2E" w:rsidRDefault="007217AF" w:rsidP="00E6240E">
            <w:pPr>
              <w:spacing w:line="360" w:lineRule="auto"/>
            </w:pPr>
            <w:r>
              <w:t>inspraak.</w:t>
            </w:r>
          </w:p>
        </w:tc>
        <w:tc>
          <w:tcPr>
            <w:tcW w:w="4247" w:type="dxa"/>
          </w:tcPr>
          <w:p w14:paraId="74A5E58D" w14:textId="77777777" w:rsidR="007217AF" w:rsidRDefault="007217AF" w:rsidP="00E6240E">
            <w:pPr>
              <w:spacing w:line="360" w:lineRule="auto"/>
            </w:pPr>
            <w:r>
              <w:t>Na de jaren 1950 was er sprake van ontzuiling van het sociale en het politieke leven.</w:t>
            </w:r>
          </w:p>
          <w:p w14:paraId="1B644CBC" w14:textId="77777777" w:rsidR="007217AF" w:rsidRDefault="007217AF" w:rsidP="00E6240E">
            <w:pPr>
              <w:spacing w:line="360" w:lineRule="auto"/>
            </w:pPr>
            <w:r>
              <w:t>Nieuwe politieke partijen en omroepen, zoals D’66 en Veronica, kwamen op en er</w:t>
            </w:r>
          </w:p>
          <w:p w14:paraId="71E07B2C" w14:textId="77777777" w:rsidR="007217AF" w:rsidRDefault="007217AF" w:rsidP="00E6240E">
            <w:pPr>
              <w:spacing w:line="360" w:lineRule="auto"/>
            </w:pPr>
            <w:r>
              <w:t>ontstond een jongerencultuur. De jeugd kreeg de beschikking over meer vrije tijd en geld</w:t>
            </w:r>
          </w:p>
          <w:p w14:paraId="4BE22DA3" w14:textId="77777777" w:rsidR="007217AF" w:rsidRDefault="007217AF" w:rsidP="00E6240E">
            <w:pPr>
              <w:spacing w:line="360" w:lineRule="auto"/>
            </w:pPr>
            <w:r>
              <w:t>en een deel van de jongeren volgde steeds langer onderwijs. Mede onder invloed van</w:t>
            </w:r>
          </w:p>
          <w:p w14:paraId="22179497" w14:textId="54E388C0" w:rsidR="007217AF" w:rsidRDefault="007217AF" w:rsidP="00E6240E">
            <w:pPr>
              <w:spacing w:line="360" w:lineRule="auto"/>
            </w:pPr>
            <w:r>
              <w:t xml:space="preserve">popmuziek uit Engeland en de Verenigde Staten ontstonden er </w:t>
            </w:r>
            <w:r w:rsidRPr="007217AF">
              <w:rPr>
                <w:color w:val="EE0000"/>
              </w:rPr>
              <w:t>in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jaren 1950 jongerenbewegingen, zoals de nozems. In de jaren 1960 begonnen groepen</w:t>
            </w:r>
          </w:p>
          <w:p w14:paraId="7DAC1E2C" w14:textId="77777777" w:rsidR="007217AF" w:rsidRDefault="007217AF" w:rsidP="00E6240E">
            <w:pPr>
              <w:spacing w:line="360" w:lineRule="auto"/>
            </w:pPr>
            <w:r>
              <w:t>jongeren, zoals de provo’s en de hippies, zich te verzetten tegen de</w:t>
            </w:r>
          </w:p>
          <w:p w14:paraId="4F0E7C76" w14:textId="77777777" w:rsidR="007217AF" w:rsidRDefault="007217AF" w:rsidP="00E6240E">
            <w:pPr>
              <w:spacing w:line="360" w:lineRule="auto"/>
            </w:pPr>
            <w:r>
              <w:t>consumptiemaatschappij. Zij bespotten het gezag van oudere generaties en eisten meer</w:t>
            </w:r>
          </w:p>
          <w:p w14:paraId="2E93D771" w14:textId="79C9AC15" w:rsidR="00020E2E" w:rsidRDefault="007217AF" w:rsidP="00E6240E">
            <w:pPr>
              <w:spacing w:line="360" w:lineRule="auto"/>
            </w:pPr>
            <w:r>
              <w:t>inspraak.</w:t>
            </w:r>
          </w:p>
        </w:tc>
      </w:tr>
      <w:tr w:rsidR="00020E2E" w14:paraId="5907998F" w14:textId="77777777" w:rsidTr="00020E2E">
        <w:tc>
          <w:tcPr>
            <w:tcW w:w="4247" w:type="dxa"/>
          </w:tcPr>
          <w:p w14:paraId="6B239805" w14:textId="3F28F654" w:rsidR="007217AF" w:rsidRDefault="007217AF" w:rsidP="00E6240E">
            <w:pPr>
              <w:spacing w:line="360" w:lineRule="auto"/>
            </w:pPr>
            <w:r>
              <w:t>Begin jaren 1950 was Nederland een emigratieland van waaruit mensen naar landen als</w:t>
            </w:r>
            <w:r>
              <w:t xml:space="preserve"> </w:t>
            </w:r>
            <w:r>
              <w:t>Australië, Nieuw-Zeeland en Canada trokken. De dekolonisatie van Indonesië en</w:t>
            </w:r>
            <w:r>
              <w:t xml:space="preserve"> </w:t>
            </w:r>
            <w:r>
              <w:t>Suriname zorgde voor de al dan niet vrijwillige komst van groepen migranten naar ons</w:t>
            </w:r>
            <w:r>
              <w:t xml:space="preserve"> </w:t>
            </w:r>
            <w:r>
              <w:t>land. Vanaf eind jaren 1960 huurden werkgevers zogenoemde gastarbeiders in, eerst uit</w:t>
            </w:r>
            <w:r>
              <w:t xml:space="preserve"> </w:t>
            </w:r>
            <w:r>
              <w:t>Zuid-Europa, later uit Turkije en Marokko, die later ook het recht kregen op</w:t>
            </w:r>
            <w:r>
              <w:t xml:space="preserve"> </w:t>
            </w:r>
            <w:r>
              <w:t>gezinshereniging.</w:t>
            </w:r>
          </w:p>
          <w:p w14:paraId="55C98EE2" w14:textId="77777777" w:rsidR="00E6240E" w:rsidRDefault="00E6240E" w:rsidP="00E6240E">
            <w:pPr>
              <w:spacing w:line="360" w:lineRule="auto"/>
            </w:pPr>
          </w:p>
          <w:p w14:paraId="0C26D13A" w14:textId="77777777" w:rsidR="007217AF" w:rsidRDefault="007217AF" w:rsidP="00E6240E">
            <w:pPr>
              <w:spacing w:line="360" w:lineRule="auto"/>
            </w:pPr>
          </w:p>
          <w:p w14:paraId="4F8BD7CD" w14:textId="77777777" w:rsidR="007217AF" w:rsidRDefault="007217AF" w:rsidP="00E6240E">
            <w:pPr>
              <w:spacing w:line="360" w:lineRule="auto"/>
            </w:pPr>
            <w:r>
              <w:t>De oliecrisis maakte in 1973 een einde aan jarenlange economische groei. Nederland kon</w:t>
            </w:r>
          </w:p>
          <w:p w14:paraId="42E2A12C" w14:textId="77777777" w:rsidR="007217AF" w:rsidRDefault="007217AF" w:rsidP="00E6240E">
            <w:pPr>
              <w:spacing w:line="360" w:lineRule="auto"/>
            </w:pPr>
            <w:r>
              <w:t>de gevolgen daarvan nog enkele jaren opvangen. Rond 1980 was er sprake van een</w:t>
            </w:r>
          </w:p>
          <w:p w14:paraId="7CC26A12" w14:textId="0B4DFCB0" w:rsidR="00020E2E" w:rsidRDefault="007217AF" w:rsidP="00E6240E">
            <w:pPr>
              <w:spacing w:line="360" w:lineRule="auto"/>
            </w:pPr>
            <w:r>
              <w:t>economische crisis die de samenleving en de verzorgingsstaat onder druk zette.</w:t>
            </w:r>
          </w:p>
        </w:tc>
        <w:tc>
          <w:tcPr>
            <w:tcW w:w="4247" w:type="dxa"/>
          </w:tcPr>
          <w:p w14:paraId="669648C2" w14:textId="2547AEA2" w:rsidR="007217AF" w:rsidRPr="007217AF" w:rsidRDefault="007217AF" w:rsidP="00E6240E">
            <w:pPr>
              <w:spacing w:line="360" w:lineRule="auto"/>
              <w:rPr>
                <w:color w:val="EE0000"/>
              </w:rPr>
            </w:pPr>
            <w:r>
              <w:lastRenderedPageBreak/>
              <w:t>Begin jaren 1950 was Nederland een emigratieland van waaruit mensen naar landen als</w:t>
            </w:r>
            <w:r>
              <w:t xml:space="preserve"> </w:t>
            </w:r>
            <w:r>
              <w:t>Australië, Nieuw-Zeeland en Canada trokken. De dekolonisatie van Indonesië (</w:t>
            </w:r>
            <w:r w:rsidRPr="007217AF">
              <w:rPr>
                <w:color w:val="EE0000"/>
              </w:rPr>
              <w:t>1949</w:t>
            </w:r>
            <w:r>
              <w:t>) en</w:t>
            </w:r>
            <w:r>
              <w:t xml:space="preserve"> </w:t>
            </w:r>
            <w:r>
              <w:t>Suriname (</w:t>
            </w:r>
            <w:r w:rsidRPr="007217AF">
              <w:rPr>
                <w:color w:val="EE0000"/>
              </w:rPr>
              <w:t>1975</w:t>
            </w:r>
            <w:r>
              <w:t>) zorgde voor de al dan niet vrijwillige komst van groepen migranten</w:t>
            </w:r>
            <w:r>
              <w:t xml:space="preserve"> </w:t>
            </w:r>
            <w:r>
              <w:t xml:space="preserve">naar ons land. </w:t>
            </w:r>
            <w:r w:rsidRPr="007217AF">
              <w:rPr>
                <w:color w:val="EE0000"/>
              </w:rPr>
              <w:t xml:space="preserve">Vanaf de jaren 1950 huurden werkgevers arbeidskrachten </w:t>
            </w:r>
            <w:r>
              <w:rPr>
                <w:color w:val="EE0000"/>
              </w:rPr>
              <w:t xml:space="preserve">in </w:t>
            </w:r>
            <w:r w:rsidRPr="007217AF">
              <w:rPr>
                <w:color w:val="EE0000"/>
              </w:rPr>
              <w:t>uit Zuid-</w:t>
            </w:r>
            <w:r w:rsidRPr="007217AF">
              <w:rPr>
                <w:color w:val="EE0000"/>
              </w:rPr>
              <w:t xml:space="preserve"> </w:t>
            </w:r>
            <w:r w:rsidRPr="007217AF">
              <w:rPr>
                <w:color w:val="EE0000"/>
              </w:rPr>
              <w:t xml:space="preserve">Europa. Vanaf de jaren 1960 huurden werkgevers zogenoemde </w:t>
            </w:r>
            <w:r w:rsidRPr="007217AF">
              <w:rPr>
                <w:color w:val="EE0000"/>
              </w:rPr>
              <w:lastRenderedPageBreak/>
              <w:t>gastarbeiders in die later ook het recht kregen op</w:t>
            </w:r>
            <w:r w:rsidRPr="007217AF">
              <w:rPr>
                <w:color w:val="EE0000"/>
              </w:rPr>
              <w:t xml:space="preserve"> </w:t>
            </w:r>
            <w:r w:rsidRPr="007217AF">
              <w:rPr>
                <w:color w:val="EE0000"/>
              </w:rPr>
              <w:t>gezinshereniging.</w:t>
            </w:r>
          </w:p>
          <w:p w14:paraId="3EA65D51" w14:textId="77777777" w:rsidR="007217AF" w:rsidRDefault="007217AF" w:rsidP="00E6240E">
            <w:pPr>
              <w:spacing w:line="360" w:lineRule="auto"/>
            </w:pPr>
          </w:p>
          <w:p w14:paraId="2E7233C9" w14:textId="77777777" w:rsidR="007217AF" w:rsidRDefault="007217AF" w:rsidP="00E6240E">
            <w:pPr>
              <w:spacing w:line="360" w:lineRule="auto"/>
            </w:pPr>
            <w:r>
              <w:t>De oliecrisis maakte in 1973 een einde aan jarenlange economische groei. Nederland kon</w:t>
            </w:r>
          </w:p>
          <w:p w14:paraId="6E3982C7" w14:textId="77777777" w:rsidR="007217AF" w:rsidRDefault="007217AF" w:rsidP="00E6240E">
            <w:pPr>
              <w:spacing w:line="360" w:lineRule="auto"/>
            </w:pPr>
            <w:r>
              <w:t>de gevolgen daarvan nog enkele jaren opvangen. Rond 1980 was er sprake van een</w:t>
            </w:r>
          </w:p>
          <w:p w14:paraId="496C4108" w14:textId="2F5B078D" w:rsidR="00020E2E" w:rsidRDefault="007217AF" w:rsidP="00E6240E">
            <w:pPr>
              <w:spacing w:line="360" w:lineRule="auto"/>
            </w:pPr>
            <w:r>
              <w:t>economische crisis die de samenleving en de verzorgingsstaat onder druk zette.</w:t>
            </w:r>
          </w:p>
        </w:tc>
      </w:tr>
    </w:tbl>
    <w:p w14:paraId="4FD9C7EB" w14:textId="77777777" w:rsidR="00957F20" w:rsidRDefault="00957F2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16DDD" w14:paraId="450D3088" w14:textId="77777777" w:rsidTr="00516DDD">
        <w:tc>
          <w:tcPr>
            <w:tcW w:w="4247" w:type="dxa"/>
          </w:tcPr>
          <w:p w14:paraId="3EC1A9CD" w14:textId="290A01D4" w:rsidR="00516DDD" w:rsidRPr="00CE36CD" w:rsidRDefault="00516DDD" w:rsidP="00CE36CD">
            <w:pPr>
              <w:spacing w:line="360" w:lineRule="auto"/>
              <w:rPr>
                <w:b/>
                <w:bCs/>
              </w:rPr>
            </w:pPr>
            <w:r w:rsidRPr="00CE36CD">
              <w:rPr>
                <w:b/>
                <w:bCs/>
              </w:rPr>
              <w:t>Vwo 2026</w:t>
            </w:r>
          </w:p>
        </w:tc>
        <w:tc>
          <w:tcPr>
            <w:tcW w:w="4247" w:type="dxa"/>
          </w:tcPr>
          <w:p w14:paraId="269BE0D6" w14:textId="539B71DB" w:rsidR="00516DDD" w:rsidRPr="00CE36CD" w:rsidRDefault="00516DDD" w:rsidP="00CE36CD">
            <w:pPr>
              <w:spacing w:line="360" w:lineRule="auto"/>
              <w:rPr>
                <w:b/>
                <w:bCs/>
              </w:rPr>
            </w:pPr>
            <w:r w:rsidRPr="00CE36CD">
              <w:rPr>
                <w:b/>
                <w:bCs/>
              </w:rPr>
              <w:t>Vwo 2027</w:t>
            </w:r>
          </w:p>
        </w:tc>
      </w:tr>
      <w:tr w:rsidR="00516DDD" w14:paraId="33AE0450" w14:textId="77777777" w:rsidTr="00516DDD">
        <w:tc>
          <w:tcPr>
            <w:tcW w:w="4247" w:type="dxa"/>
          </w:tcPr>
          <w:p w14:paraId="260BB37D" w14:textId="348F80AE" w:rsidR="00516DDD" w:rsidRDefault="009747CA" w:rsidP="00CE36CD">
            <w:pPr>
              <w:spacing w:line="360" w:lineRule="auto"/>
            </w:pPr>
            <w:r w:rsidRPr="00294582">
              <w:rPr>
                <w:b/>
                <w:bCs/>
                <w:color w:val="215E99" w:themeColor="text2" w:themeTint="BF"/>
              </w:rPr>
              <w:t>Steden en Burgers</w:t>
            </w:r>
          </w:p>
        </w:tc>
        <w:tc>
          <w:tcPr>
            <w:tcW w:w="4247" w:type="dxa"/>
          </w:tcPr>
          <w:p w14:paraId="29F19356" w14:textId="2F85769A" w:rsidR="00516DDD" w:rsidRPr="00294582" w:rsidRDefault="00516DDD" w:rsidP="00CE36CD">
            <w:pPr>
              <w:spacing w:line="360" w:lineRule="auto"/>
              <w:rPr>
                <w:b/>
                <w:bCs/>
              </w:rPr>
            </w:pPr>
            <w:r w:rsidRPr="00294582">
              <w:rPr>
                <w:b/>
                <w:bCs/>
                <w:color w:val="215E99" w:themeColor="text2" w:themeTint="BF"/>
              </w:rPr>
              <w:t>Steden en Burgers</w:t>
            </w:r>
          </w:p>
        </w:tc>
      </w:tr>
      <w:tr w:rsidR="00516DDD" w14:paraId="27AE820A" w14:textId="77777777" w:rsidTr="00516DDD">
        <w:tc>
          <w:tcPr>
            <w:tcW w:w="4247" w:type="dxa"/>
          </w:tcPr>
          <w:p w14:paraId="5694BA41" w14:textId="1ABA7A6A" w:rsidR="00C2463C" w:rsidRDefault="00C2463C" w:rsidP="00C2463C">
            <w:pPr>
              <w:spacing w:line="360" w:lineRule="auto"/>
            </w:pPr>
            <w:r>
              <w:t>Behalve van de adel, nam de stedelijke burgerij ook taken van de geestelijkheid over, zoals sociale</w:t>
            </w:r>
            <w:r>
              <w:t xml:space="preserve"> </w:t>
            </w:r>
            <w:r>
              <w:t>zorg en onderwijs, en</w:t>
            </w:r>
            <w:r>
              <w:t xml:space="preserve"> </w:t>
            </w:r>
            <w:r>
              <w:t>ontwikkelde zij ideeën over het algemeen belang of bonum commune van de</w:t>
            </w:r>
          </w:p>
          <w:p w14:paraId="22BA3BBD" w14:textId="77777777" w:rsidR="00C2463C" w:rsidRDefault="00C2463C" w:rsidP="00C2463C">
            <w:pPr>
              <w:spacing w:line="360" w:lineRule="auto"/>
            </w:pPr>
            <w:r>
              <w:t>stedelingen. Met de vestiging van bedelorden en begijnhoven probeerde de geestelijkheid</w:t>
            </w:r>
          </w:p>
          <w:p w14:paraId="35E84223" w14:textId="628490D4" w:rsidR="00516DDD" w:rsidRDefault="00C2463C" w:rsidP="00C2463C">
            <w:pPr>
              <w:spacing w:line="360" w:lineRule="auto"/>
            </w:pPr>
            <w:r>
              <w:t>omgekeerd aansluiting te vinden bij een meer individuele geloofsbeleving van stedelingen, de</w:t>
            </w:r>
            <w:r>
              <w:t xml:space="preserve"> </w:t>
            </w:r>
            <w:r>
              <w:t>moderne devotie.</w:t>
            </w:r>
          </w:p>
        </w:tc>
        <w:tc>
          <w:tcPr>
            <w:tcW w:w="4247" w:type="dxa"/>
          </w:tcPr>
          <w:p w14:paraId="601B3A23" w14:textId="21603C92" w:rsidR="00516DDD" w:rsidRDefault="00516DDD" w:rsidP="00CE36CD">
            <w:pPr>
              <w:spacing w:line="360" w:lineRule="auto"/>
            </w:pPr>
            <w:r>
              <w:t>Behalve van de adel, nam de stedelijke burgerij ook taken van de geestelijkheid over, zoals sociale</w:t>
            </w:r>
            <w:r>
              <w:t xml:space="preserve"> </w:t>
            </w:r>
            <w:r>
              <w:t>zorg en onderwijs, en ontwikkelde zij ideeën over het algemeen belang of bonum commune van de</w:t>
            </w:r>
          </w:p>
          <w:p w14:paraId="0F924C0D" w14:textId="77777777" w:rsidR="00516DDD" w:rsidRDefault="00516DDD" w:rsidP="00CE36CD">
            <w:pPr>
              <w:spacing w:line="360" w:lineRule="auto"/>
            </w:pPr>
            <w:r>
              <w:t>stedelingen. Met de vestiging van bedelorden en begijnhoven probeerde de geestelijkheid</w:t>
            </w:r>
          </w:p>
          <w:p w14:paraId="2A3E00B9" w14:textId="20AE1528" w:rsidR="00516DDD" w:rsidRDefault="00516DDD" w:rsidP="00CE36CD">
            <w:pPr>
              <w:spacing w:line="360" w:lineRule="auto"/>
            </w:pPr>
            <w:r>
              <w:t xml:space="preserve">omgekeerd aansluiting te vinden bij een meer individuele geloofsbeleving van stedelingen, </w:t>
            </w:r>
            <w:r w:rsidRPr="00516DDD">
              <w:rPr>
                <w:color w:val="EE0000"/>
              </w:rPr>
              <w:t>zoals</w:t>
            </w:r>
            <w:r w:rsidRPr="00516DDD">
              <w:rPr>
                <w:color w:val="EE0000"/>
              </w:rPr>
              <w:t xml:space="preserve"> </w:t>
            </w:r>
            <w:r w:rsidRPr="00516DDD">
              <w:rPr>
                <w:color w:val="EE0000"/>
              </w:rPr>
              <w:t>die bijvoorbeeld tot uiting kwam in de moderne devotie.</w:t>
            </w:r>
          </w:p>
        </w:tc>
      </w:tr>
      <w:tr w:rsidR="00516DDD" w14:paraId="55B05CF5" w14:textId="77777777" w:rsidTr="00516DDD">
        <w:tc>
          <w:tcPr>
            <w:tcW w:w="4247" w:type="dxa"/>
          </w:tcPr>
          <w:p w14:paraId="3A0FA346" w14:textId="016E3D70" w:rsidR="009747CA" w:rsidRDefault="009747CA" w:rsidP="009747CA">
            <w:pPr>
              <w:spacing w:line="360" w:lineRule="auto"/>
            </w:pPr>
            <w:r>
              <w:t>In de 16e eeuw zetten de Habsburgse vorsten Karel V en Filips II de centralisatiepolitiek door en</w:t>
            </w:r>
            <w:r>
              <w:t xml:space="preserve"> </w:t>
            </w:r>
            <w:r>
              <w:t>breidden deze vanwege de opkomst van lutheranisme en calvinisme uit naar de godsdienst. Zij</w:t>
            </w:r>
            <w:r>
              <w:t xml:space="preserve"> </w:t>
            </w:r>
            <w:r>
              <w:t xml:space="preserve">wilden het protestantisme, dat zich concentreerde in de steden, </w:t>
            </w:r>
            <w:r>
              <w:t xml:space="preserve"> </w:t>
            </w:r>
            <w:r>
              <w:t>erugdringen. Na de Beeldenstorm</w:t>
            </w:r>
            <w:r>
              <w:t xml:space="preserve"> </w:t>
            </w:r>
            <w:r>
              <w:t>en het harde optreden door Alva brak er onder leiding van Willem van Oranje een opstand uit</w:t>
            </w:r>
            <w:r>
              <w:t xml:space="preserve"> </w:t>
            </w:r>
            <w:r>
              <w:t>tegen het Spaanse gezag. Door de opstand, die in de praktijk een oorlog tegen steden was, verloor</w:t>
            </w:r>
            <w:r>
              <w:t xml:space="preserve"> </w:t>
            </w:r>
            <w:r>
              <w:t>Antwerpen vanaf 1585 haar stapelmarktfunctie en trokken veel kapitaalkrachtige inwoners naar</w:t>
            </w:r>
            <w:r>
              <w:t xml:space="preserve"> </w:t>
            </w:r>
            <w:r>
              <w:t>Holland. De noordelijke gewesten stichtten een republiek. Vanaf de oprichting van de VOC in 1602</w:t>
            </w:r>
          </w:p>
          <w:p w14:paraId="6CBF8263" w14:textId="79D302AE" w:rsidR="00516DDD" w:rsidRDefault="009747CA" w:rsidP="009747CA">
            <w:pPr>
              <w:spacing w:line="360" w:lineRule="auto"/>
            </w:pPr>
            <w:r>
              <w:t>ontwikkelde die zich tot een</w:t>
            </w:r>
            <w:r>
              <w:t xml:space="preserve"> h</w:t>
            </w:r>
            <w:r>
              <w:t>andelsgrootmacht met een wereldwijd handelsnetwerk.</w:t>
            </w:r>
          </w:p>
        </w:tc>
        <w:tc>
          <w:tcPr>
            <w:tcW w:w="4247" w:type="dxa"/>
          </w:tcPr>
          <w:p w14:paraId="51A66F57" w14:textId="552ABCAF" w:rsidR="00516DDD" w:rsidRDefault="00516DDD" w:rsidP="00CE36CD">
            <w:pPr>
              <w:spacing w:line="360" w:lineRule="auto"/>
            </w:pPr>
            <w:r>
              <w:t>In de 16e eeuw zetten de Habsburgse vorsten Karel V en Filips II de centralisatiepolitiek door en</w:t>
            </w:r>
            <w:r>
              <w:t xml:space="preserve"> </w:t>
            </w:r>
            <w:r>
              <w:t>breidden deze vanwege de opkomst van lutheranisme en calvinisme uit naar de godsdienst. Zij</w:t>
            </w:r>
            <w:r>
              <w:t xml:space="preserve"> </w:t>
            </w:r>
            <w:r>
              <w:t>wilden het protestantisme, dat zich concentreerde in de steden,</w:t>
            </w:r>
            <w:r>
              <w:t xml:space="preserve"> </w:t>
            </w:r>
            <w:r>
              <w:t>terugdringen. Na de Beeldenstorm</w:t>
            </w:r>
          </w:p>
          <w:p w14:paraId="09F9F81E" w14:textId="5EC786CF" w:rsidR="00516DDD" w:rsidRDefault="00516DDD" w:rsidP="00CE36CD">
            <w:pPr>
              <w:spacing w:line="360" w:lineRule="auto"/>
            </w:pPr>
            <w:r>
              <w:t>en het harde optreden door Alva brak er onder leiding van Willem van Oranje een opstand uit</w:t>
            </w:r>
            <w:r>
              <w:t xml:space="preserve"> </w:t>
            </w:r>
            <w:r>
              <w:t xml:space="preserve">tegen het Spaanse gezag. </w:t>
            </w:r>
            <w:r w:rsidRPr="00516DDD">
              <w:rPr>
                <w:color w:val="EE0000"/>
              </w:rPr>
              <w:t xml:space="preserve">Tijdens </w:t>
            </w:r>
            <w:r>
              <w:t xml:space="preserve">de opstand, die in de praktijk een oorlog  </w:t>
            </w:r>
            <w:r w:rsidRPr="00516DDD">
              <w:rPr>
                <w:color w:val="EE0000"/>
              </w:rPr>
              <w:t>tussen</w:t>
            </w:r>
            <w:r w:rsidRPr="00516DDD">
              <w:rPr>
                <w:color w:val="EE0000"/>
              </w:rPr>
              <w:t xml:space="preserve"> </w:t>
            </w:r>
            <w:r w:rsidRPr="00516DDD">
              <w:rPr>
                <w:color w:val="EE0000"/>
              </w:rPr>
              <w:t xml:space="preserve">Spanje </w:t>
            </w:r>
            <w:r>
              <w:t xml:space="preserve">en steden </w:t>
            </w:r>
            <w:r w:rsidRPr="00516DDD">
              <w:rPr>
                <w:color w:val="EE0000"/>
              </w:rPr>
              <w:t>werd</w:t>
            </w:r>
            <w:r>
              <w:t xml:space="preserve">, verloor Antwerpen </w:t>
            </w:r>
            <w:r w:rsidRPr="00516DDD">
              <w:rPr>
                <w:color w:val="EE0000"/>
              </w:rPr>
              <w:t xml:space="preserve">door de Spaanse verovering </w:t>
            </w:r>
            <w:r>
              <w:t>in vanaf 1585 haar</w:t>
            </w:r>
            <w:r>
              <w:t xml:space="preserve"> </w:t>
            </w:r>
            <w:r>
              <w:t>stapelmarktfunctie en trokken veel kapitaalkrachtige inwoners naar Holland. De noordelijke</w:t>
            </w:r>
            <w:r>
              <w:t xml:space="preserve"> </w:t>
            </w:r>
            <w:r>
              <w:t>gewesten stichtten een republiek. Vanaf de oprichting van de VOC in 1602 ontwikkelde die zich tot</w:t>
            </w:r>
            <w:r>
              <w:t xml:space="preserve"> </w:t>
            </w:r>
            <w:r>
              <w:t>een handelsgrootmacht met een wereldwijd handelsnetwerk.</w:t>
            </w:r>
          </w:p>
        </w:tc>
      </w:tr>
      <w:tr w:rsidR="00516DDD" w14:paraId="20FF2315" w14:textId="77777777" w:rsidTr="00516DDD">
        <w:tc>
          <w:tcPr>
            <w:tcW w:w="4247" w:type="dxa"/>
          </w:tcPr>
          <w:p w14:paraId="61D17718" w14:textId="3923D0CA" w:rsidR="00516DDD" w:rsidRDefault="009747CA" w:rsidP="00CE36CD">
            <w:pPr>
              <w:spacing w:line="360" w:lineRule="auto"/>
            </w:pPr>
            <w:r w:rsidRPr="009747CA">
              <w:rPr>
                <w:color w:val="215E99" w:themeColor="text2" w:themeTint="BF"/>
              </w:rPr>
              <w:t>Verlichting</w:t>
            </w:r>
          </w:p>
        </w:tc>
        <w:tc>
          <w:tcPr>
            <w:tcW w:w="4247" w:type="dxa"/>
          </w:tcPr>
          <w:p w14:paraId="3BD2CC94" w14:textId="545B34F2" w:rsidR="00516DDD" w:rsidRDefault="00516DDD" w:rsidP="00CE36CD">
            <w:pPr>
              <w:spacing w:line="360" w:lineRule="auto"/>
            </w:pPr>
            <w:r w:rsidRPr="009747CA">
              <w:rPr>
                <w:color w:val="215E99" w:themeColor="text2" w:themeTint="BF"/>
              </w:rPr>
              <w:t>Verlichting</w:t>
            </w:r>
          </w:p>
        </w:tc>
      </w:tr>
      <w:tr w:rsidR="00516DDD" w14:paraId="54A4D45B" w14:textId="77777777" w:rsidTr="00516DDD">
        <w:tc>
          <w:tcPr>
            <w:tcW w:w="4247" w:type="dxa"/>
          </w:tcPr>
          <w:p w14:paraId="76F1A3E2" w14:textId="38A6DE4D" w:rsidR="00516DDD" w:rsidRDefault="009747CA" w:rsidP="009747CA">
            <w:pPr>
              <w:spacing w:line="360" w:lineRule="auto"/>
            </w:pPr>
            <w:r>
              <w:t>In 1799 nam Napoleon de macht over, kroonde zichzelf tot keizer en zette de verovering van een</w:t>
            </w:r>
            <w:r>
              <w:t xml:space="preserve"> </w:t>
            </w:r>
            <w:r>
              <w:t>groot deel van Europa door. In de veroverde gebieden voerde hij de Code Napoléon in, een serie</w:t>
            </w:r>
            <w:r>
              <w:t xml:space="preserve"> </w:t>
            </w:r>
            <w:r>
              <w:t>wetboeken waarin veel revolutionaire ideeën waren vastgelegd.</w:t>
            </w:r>
          </w:p>
        </w:tc>
        <w:tc>
          <w:tcPr>
            <w:tcW w:w="4247" w:type="dxa"/>
          </w:tcPr>
          <w:p w14:paraId="2F290B57" w14:textId="2BADA3C2" w:rsidR="00516DDD" w:rsidRDefault="00516DDD" w:rsidP="00CE36CD">
            <w:pPr>
              <w:spacing w:line="360" w:lineRule="auto"/>
            </w:pPr>
            <w:r>
              <w:t xml:space="preserve">In 1799 nam Napoleon de macht over. </w:t>
            </w:r>
            <w:r w:rsidRPr="00516DDD">
              <w:rPr>
                <w:color w:val="EE0000"/>
              </w:rPr>
              <w:t xml:space="preserve">In de jaren erna </w:t>
            </w:r>
            <w:r>
              <w:t xml:space="preserve">kroonde </w:t>
            </w:r>
            <w:r w:rsidRPr="00516DDD">
              <w:rPr>
                <w:color w:val="EE0000"/>
              </w:rPr>
              <w:t>hij</w:t>
            </w:r>
            <w:r>
              <w:t xml:space="preserve"> zichzelf tot keizer en zette de</w:t>
            </w:r>
            <w:r>
              <w:t xml:space="preserve"> </w:t>
            </w:r>
            <w:r>
              <w:t>verovering van een groot deel van Europa door. In de veroverde gebieden voerde hij de Code</w:t>
            </w:r>
            <w:r>
              <w:t xml:space="preserve"> </w:t>
            </w:r>
            <w:r>
              <w:t>Napoléon in, een serie wetboeken waarin veel revolutionaire ideeën waren vastgelegd.</w:t>
            </w:r>
          </w:p>
        </w:tc>
      </w:tr>
      <w:tr w:rsidR="00516DDD" w14:paraId="3BC761C3" w14:textId="77777777" w:rsidTr="00516DDD">
        <w:tc>
          <w:tcPr>
            <w:tcW w:w="4247" w:type="dxa"/>
          </w:tcPr>
          <w:p w14:paraId="69EAF679" w14:textId="4A3C6A8C" w:rsidR="00516DDD" w:rsidRPr="00CE44B2" w:rsidRDefault="00CE44B2" w:rsidP="00CE36CD">
            <w:pPr>
              <w:spacing w:line="360" w:lineRule="auto"/>
              <w:rPr>
                <w:color w:val="215E99" w:themeColor="text2" w:themeTint="BF"/>
              </w:rPr>
            </w:pPr>
            <w:r w:rsidRPr="00CE44B2">
              <w:rPr>
                <w:color w:val="215E99" w:themeColor="text2" w:themeTint="BF"/>
              </w:rPr>
              <w:t>China</w:t>
            </w:r>
          </w:p>
        </w:tc>
        <w:tc>
          <w:tcPr>
            <w:tcW w:w="4247" w:type="dxa"/>
          </w:tcPr>
          <w:p w14:paraId="75FE6721" w14:textId="2593754A" w:rsidR="00516DDD" w:rsidRPr="00CE44B2" w:rsidRDefault="00516DDD" w:rsidP="00CE36CD">
            <w:pPr>
              <w:spacing w:line="360" w:lineRule="auto"/>
              <w:rPr>
                <w:color w:val="215E99" w:themeColor="text2" w:themeTint="BF"/>
              </w:rPr>
            </w:pPr>
            <w:r w:rsidRPr="00CE44B2">
              <w:rPr>
                <w:color w:val="215E99" w:themeColor="text2" w:themeTint="BF"/>
              </w:rPr>
              <w:t>China</w:t>
            </w:r>
          </w:p>
        </w:tc>
      </w:tr>
      <w:tr w:rsidR="00516DDD" w14:paraId="71DD7F5B" w14:textId="77777777" w:rsidTr="00516DDD">
        <w:tc>
          <w:tcPr>
            <w:tcW w:w="4247" w:type="dxa"/>
          </w:tcPr>
          <w:p w14:paraId="29875E40" w14:textId="5EDA2F6B" w:rsidR="00516DDD" w:rsidRDefault="00CE44B2" w:rsidP="00CE44B2">
            <w:pPr>
              <w:spacing w:line="360" w:lineRule="auto"/>
            </w:pPr>
            <w:r>
              <w:t>De invloed en bemoeienis van de buitenlandse mogendheden bleef groot. Uit protest daartegen en</w:t>
            </w:r>
            <w:r>
              <w:t xml:space="preserve"> </w:t>
            </w:r>
            <w:r>
              <w:t>tegen het uitblijven van veranderingen ontstond de 4 Meibeweging.</w:t>
            </w:r>
          </w:p>
        </w:tc>
        <w:tc>
          <w:tcPr>
            <w:tcW w:w="4247" w:type="dxa"/>
          </w:tcPr>
          <w:p w14:paraId="4937845B" w14:textId="2CFC27A6" w:rsidR="00516DDD" w:rsidRDefault="00516DDD" w:rsidP="00CE36CD">
            <w:pPr>
              <w:spacing w:line="360" w:lineRule="auto"/>
            </w:pPr>
            <w:r>
              <w:t>De invloed en bemoeienis van de buitenlandse mogendheden bleef groot. Uit protest daartegen en</w:t>
            </w:r>
            <w:r>
              <w:t xml:space="preserve"> </w:t>
            </w:r>
            <w:r>
              <w:t xml:space="preserve">tegen het uitblijven van veranderingen ontstond </w:t>
            </w:r>
            <w:r w:rsidRPr="00516DDD">
              <w:rPr>
                <w:color w:val="EE0000"/>
              </w:rPr>
              <w:t xml:space="preserve">in 1919 </w:t>
            </w:r>
            <w:r>
              <w:t>de 4 Meibeweging.</w:t>
            </w:r>
          </w:p>
        </w:tc>
      </w:tr>
    </w:tbl>
    <w:p w14:paraId="613A0CA0" w14:textId="77777777" w:rsidR="00516DDD" w:rsidRDefault="00516DDD" w:rsidP="00CE36CD"/>
    <w:sectPr w:rsidR="00516DDD" w:rsidSect="00A753A5">
      <w:footerReference w:type="default" r:id="rId6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BAC6" w14:textId="77777777" w:rsidR="005E125C" w:rsidRDefault="005E125C" w:rsidP="00430BAF">
      <w:pPr>
        <w:spacing w:after="0" w:line="240" w:lineRule="auto"/>
      </w:pPr>
      <w:r>
        <w:separator/>
      </w:r>
    </w:p>
  </w:endnote>
  <w:endnote w:type="continuationSeparator" w:id="0">
    <w:p w14:paraId="45821DF3" w14:textId="77777777" w:rsidR="005E125C" w:rsidRDefault="005E125C" w:rsidP="0043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">
    <w:panose1 w:val="02000503060000020004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507681"/>
      <w:docPartObj>
        <w:docPartGallery w:val="Page Numbers (Bottom of Page)"/>
        <w:docPartUnique/>
      </w:docPartObj>
    </w:sdtPr>
    <w:sdtContent>
      <w:p w14:paraId="2FD388EB" w14:textId="4E38A22B" w:rsidR="00430BAF" w:rsidRDefault="00430BA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28F9A" w14:textId="77777777" w:rsidR="00430BAF" w:rsidRDefault="00430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19F4" w14:textId="77777777" w:rsidR="005E125C" w:rsidRDefault="005E125C" w:rsidP="00430BAF">
      <w:pPr>
        <w:spacing w:after="0" w:line="240" w:lineRule="auto"/>
      </w:pPr>
      <w:r>
        <w:separator/>
      </w:r>
    </w:p>
  </w:footnote>
  <w:footnote w:type="continuationSeparator" w:id="0">
    <w:p w14:paraId="1F429A31" w14:textId="77777777" w:rsidR="005E125C" w:rsidRDefault="005E125C" w:rsidP="0043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2A"/>
    <w:rsid w:val="00020E2E"/>
    <w:rsid w:val="000629B7"/>
    <w:rsid w:val="000A3F70"/>
    <w:rsid w:val="000A748C"/>
    <w:rsid w:val="0019430C"/>
    <w:rsid w:val="001E52D4"/>
    <w:rsid w:val="00294582"/>
    <w:rsid w:val="003D1242"/>
    <w:rsid w:val="00413721"/>
    <w:rsid w:val="00430BAF"/>
    <w:rsid w:val="004D4CCB"/>
    <w:rsid w:val="00516DDD"/>
    <w:rsid w:val="005E125C"/>
    <w:rsid w:val="006B4F3A"/>
    <w:rsid w:val="007217AF"/>
    <w:rsid w:val="0074752A"/>
    <w:rsid w:val="00904823"/>
    <w:rsid w:val="00957F20"/>
    <w:rsid w:val="009747CA"/>
    <w:rsid w:val="00990157"/>
    <w:rsid w:val="00A753A5"/>
    <w:rsid w:val="00B52B65"/>
    <w:rsid w:val="00B723D5"/>
    <w:rsid w:val="00C2463C"/>
    <w:rsid w:val="00CE36CD"/>
    <w:rsid w:val="00CE44B2"/>
    <w:rsid w:val="00CF53E7"/>
    <w:rsid w:val="00D45206"/>
    <w:rsid w:val="00E55BA7"/>
    <w:rsid w:val="00E6240E"/>
    <w:rsid w:val="00E67B73"/>
    <w:rsid w:val="00F12A64"/>
    <w:rsid w:val="00F568CE"/>
    <w:rsid w:val="00F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4F50A"/>
  <w15:chartTrackingRefBased/>
  <w15:docId w15:val="{F92B5442-F7DD-44F9-B51B-E5B54F20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23D5"/>
    <w:pPr>
      <w:contextualSpacing/>
    </w:pPr>
    <w:rPr>
      <w:rFonts w:ascii="Charter" w:hAnsi="Charter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4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75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75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75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75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75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75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75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autoRedefine/>
    <w:uiPriority w:val="99"/>
    <w:unhideWhenUsed/>
    <w:qFormat/>
    <w:rsid w:val="00B723D5"/>
    <w:pPr>
      <w:spacing w:after="0" w:line="276" w:lineRule="auto"/>
    </w:pPr>
    <w:rPr>
      <w:kern w:val="0"/>
      <w:sz w:val="18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723D5"/>
    <w:rPr>
      <w:rFonts w:ascii="Charter" w:hAnsi="Charter"/>
      <w:kern w:val="0"/>
      <w:sz w:val="18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12A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 w:cs="Times New Roman"/>
      <w:sz w:val="18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12A64"/>
    <w:rPr>
      <w:rFonts w:ascii="Charter" w:eastAsia="Times New Roman" w:hAnsi="Charter" w:cs="Times New Roman"/>
      <w:sz w:val="18"/>
      <w:szCs w:val="20"/>
      <w:lang w:eastAsia="nl-NL"/>
    </w:rPr>
  </w:style>
  <w:style w:type="paragraph" w:customStyle="1" w:styleId="Albert">
    <w:name w:val="Albert"/>
    <w:basedOn w:val="Standaard"/>
    <w:link w:val="AlbertChar"/>
    <w:autoRedefine/>
    <w:qFormat/>
    <w:rsid w:val="00413721"/>
    <w:rPr>
      <w:szCs w:val="24"/>
    </w:rPr>
  </w:style>
  <w:style w:type="character" w:customStyle="1" w:styleId="AlbertChar">
    <w:name w:val="Albert Char"/>
    <w:basedOn w:val="Standaardalinea-lettertype"/>
    <w:link w:val="Albert"/>
    <w:rsid w:val="00413721"/>
    <w:rPr>
      <w:rFonts w:ascii="Charter" w:hAnsi="Charter"/>
      <w:sz w:val="20"/>
    </w:rPr>
  </w:style>
  <w:style w:type="paragraph" w:customStyle="1" w:styleId="albert2">
    <w:name w:val="albert2"/>
    <w:basedOn w:val="Voetnoottekst"/>
    <w:link w:val="albert2Char"/>
    <w:autoRedefine/>
    <w:qFormat/>
    <w:rsid w:val="004D4CCB"/>
    <w:rPr>
      <w:rFonts w:ascii="Calibri" w:eastAsia="Calibri" w:hAnsi="Calibri" w:cs="Times New Roman"/>
      <w:kern w:val="2"/>
      <w14:ligatures w14:val="standardContextual"/>
    </w:rPr>
  </w:style>
  <w:style w:type="character" w:customStyle="1" w:styleId="albert2Char">
    <w:name w:val="albert2 Char"/>
    <w:basedOn w:val="VoetnoottekstChar"/>
    <w:link w:val="albert2"/>
    <w:rsid w:val="004D4CCB"/>
    <w:rPr>
      <w:rFonts w:ascii="Calibri" w:eastAsia="Calibri" w:hAnsi="Calibri" w:cs="Times New Roman"/>
      <w:kern w:val="0"/>
      <w:sz w:val="18"/>
      <w:szCs w:val="20"/>
      <w14:ligatures w14:val="none"/>
    </w:rPr>
  </w:style>
  <w:style w:type="paragraph" w:customStyle="1" w:styleId="borgen">
    <w:name w:val="borgen"/>
    <w:basedOn w:val="Voetnoottekst"/>
    <w:link w:val="borgenChar"/>
    <w:autoRedefine/>
    <w:qFormat/>
    <w:rsid w:val="00990157"/>
    <w:pPr>
      <w:spacing w:line="360" w:lineRule="auto"/>
    </w:pPr>
    <w:rPr>
      <w:kern w:val="2"/>
      <w:sz w:val="20"/>
      <w14:ligatures w14:val="standardContextual"/>
    </w:rPr>
  </w:style>
  <w:style w:type="character" w:customStyle="1" w:styleId="borgenChar">
    <w:name w:val="borgen Char"/>
    <w:basedOn w:val="VoetnoottekstChar"/>
    <w:link w:val="borgen"/>
    <w:rsid w:val="00990157"/>
    <w:rPr>
      <w:rFonts w:ascii="Charter" w:hAnsi="Charter"/>
      <w:kern w:val="0"/>
      <w:sz w:val="20"/>
      <w:szCs w:val="20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747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7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7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752A"/>
    <w:rPr>
      <w:rFonts w:eastAsiaTheme="majorEastAsia" w:cstheme="majorBidi"/>
      <w:i/>
      <w:iCs/>
      <w:color w:val="0F4761" w:themeColor="accent1" w:themeShade="BF"/>
      <w:sz w:val="20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752A"/>
    <w:rPr>
      <w:rFonts w:eastAsiaTheme="majorEastAsia" w:cstheme="majorBidi"/>
      <w:color w:val="0F4761" w:themeColor="accent1" w:themeShade="BF"/>
      <w:sz w:val="20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752A"/>
    <w:rPr>
      <w:rFonts w:eastAsiaTheme="majorEastAsia" w:cstheme="majorBidi"/>
      <w:i/>
      <w:iCs/>
      <w:color w:val="595959" w:themeColor="text1" w:themeTint="A6"/>
      <w:sz w:val="20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752A"/>
    <w:rPr>
      <w:rFonts w:eastAsiaTheme="majorEastAsia" w:cstheme="majorBidi"/>
      <w:color w:val="595959" w:themeColor="text1" w:themeTint="A6"/>
      <w:sz w:val="20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752A"/>
    <w:rPr>
      <w:rFonts w:eastAsiaTheme="majorEastAsia" w:cstheme="majorBidi"/>
      <w:i/>
      <w:iCs/>
      <w:color w:val="272727" w:themeColor="text1" w:themeTint="D8"/>
      <w:sz w:val="20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752A"/>
    <w:rPr>
      <w:rFonts w:eastAsiaTheme="majorEastAsia" w:cstheme="majorBidi"/>
      <w:color w:val="272727" w:themeColor="text1" w:themeTint="D8"/>
      <w:sz w:val="20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74752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75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7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752A"/>
    <w:rPr>
      <w:rFonts w:ascii="Charter" w:hAnsi="Charter"/>
      <w:i/>
      <w:iCs/>
      <w:color w:val="404040" w:themeColor="text1" w:themeTint="BF"/>
      <w:sz w:val="20"/>
      <w:szCs w:val="22"/>
    </w:rPr>
  </w:style>
  <w:style w:type="paragraph" w:styleId="Lijstalinea">
    <w:name w:val="List Paragraph"/>
    <w:basedOn w:val="Standaard"/>
    <w:uiPriority w:val="34"/>
    <w:qFormat/>
    <w:rsid w:val="0074752A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747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752A"/>
    <w:rPr>
      <w:rFonts w:ascii="Charter" w:hAnsi="Charter"/>
      <w:i/>
      <w:iCs/>
      <w:color w:val="0F4761" w:themeColor="accent1" w:themeShade="BF"/>
      <w:sz w:val="20"/>
      <w:szCs w:val="22"/>
    </w:rPr>
  </w:style>
  <w:style w:type="character" w:styleId="Intensieveverwijzing">
    <w:name w:val="Intense Reference"/>
    <w:basedOn w:val="Standaardalinea-lettertype"/>
    <w:uiPriority w:val="32"/>
    <w:qFormat/>
    <w:rsid w:val="007475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4752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52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4752A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516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30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0BAF"/>
    <w:rPr>
      <w:rFonts w:ascii="Charter" w:hAnsi="Charter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946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albertvanderkaap@gmail.com</dc:creator>
  <cp:keywords/>
  <dc:description/>
  <cp:lastModifiedBy>albertvanderkaap@gmail.com</cp:lastModifiedBy>
  <cp:revision>25</cp:revision>
  <dcterms:created xsi:type="dcterms:W3CDTF">2026-07-20T09:13:00Z</dcterms:created>
  <dcterms:modified xsi:type="dcterms:W3CDTF">2026-07-20T10:31:00Z</dcterms:modified>
</cp:coreProperties>
</file>